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  <w:gridCol w:w="285"/>
        <w:gridCol w:w="4984"/>
      </w:tblGrid>
      <w:tr w:rsidR="00873642" w:rsidTr="0078407D">
        <w:trPr>
          <w:trHeight w:hRule="exact" w:val="3836"/>
        </w:trPr>
        <w:tc>
          <w:tcPr>
            <w:tcW w:w="4273" w:type="dxa"/>
          </w:tcPr>
          <w:p w:rsidR="00873642" w:rsidRDefault="000012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524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3642" w:rsidRDefault="00873642">
            <w:pPr>
              <w:widowControl w:val="0"/>
              <w:spacing w:after="12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873642" w:rsidRDefault="0000121D">
            <w:pPr>
              <w:widowControl w:val="0"/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873642" w:rsidRDefault="00873642">
            <w:pPr>
              <w:widowControl w:val="0"/>
              <w:spacing w:after="0" w:line="240" w:lineRule="auto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873642" w:rsidRDefault="0000121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873642" w:rsidRDefault="0000121D">
            <w:pPr>
              <w:widowControl w:val="0"/>
              <w:spacing w:line="240" w:lineRule="auto"/>
              <w:ind w:left="-68" w:right="-74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4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407D" w:rsidRPr="0078407D">
              <w:rPr>
                <w:rFonts w:ascii="Times New Roman" w:hAnsi="Times New Roman"/>
                <w:sz w:val="28"/>
                <w:szCs w:val="28"/>
                <w:u w:val="single"/>
              </w:rPr>
              <w:t xml:space="preserve">23.04.2024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7840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407D" w:rsidRPr="0078407D">
              <w:rPr>
                <w:rFonts w:ascii="Times New Roman" w:hAnsi="Times New Roman"/>
                <w:sz w:val="28"/>
                <w:szCs w:val="28"/>
                <w:u w:val="single"/>
              </w:rPr>
              <w:t>1116-п</w:t>
            </w:r>
          </w:p>
          <w:p w:rsidR="00873642" w:rsidRPr="0078407D" w:rsidRDefault="0078407D" w:rsidP="0078407D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"/>
                <w:szCs w:val="2"/>
              </w:rPr>
            </w:pPr>
            <w:r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285" w:type="dxa"/>
          </w:tcPr>
          <w:p w:rsidR="00873642" w:rsidRDefault="00873642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84" w:type="dxa"/>
          </w:tcPr>
          <w:p w:rsidR="00873642" w:rsidRDefault="0000121D">
            <w:pPr>
              <w:widowControl w:val="0"/>
              <w:tabs>
                <w:tab w:val="left" w:pos="2970"/>
                <w:tab w:val="left" w:pos="3794"/>
                <w:tab w:val="right" w:pos="4821"/>
              </w:tabs>
              <w:ind w:firstLine="7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873642" w:rsidTr="0078407D">
        <w:trPr>
          <w:trHeight w:val="1271"/>
        </w:trPr>
        <w:tc>
          <w:tcPr>
            <w:tcW w:w="4273" w:type="dxa"/>
          </w:tcPr>
          <w:p w:rsidR="00873642" w:rsidRDefault="00873642">
            <w:pPr>
              <w:widowControl w:val="0"/>
              <w:spacing w:after="0" w:line="240" w:lineRule="auto"/>
              <w:ind w:left="72" w:right="-6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73642" w:rsidRDefault="0000121D">
            <w:pPr>
              <w:widowControl w:val="0"/>
              <w:spacing w:after="0" w:line="240" w:lineRule="auto"/>
              <w:ind w:left="72" w:right="-6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081D83A6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0" r="0" b="0"/>
                      <wp:wrapNone/>
                      <wp:docPr id="3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0" cy="275040"/>
                              </a:xfrm>
                              <a:prstGeom prst="line">
                                <a:avLst/>
                              </a:prstGeom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id="shape_0" from="1.3pt,5.55pt" to="1.3pt,27.15pt" ID="Прямая соединительная линия 2" stroked="f" o:allowincell="f" style="position:absolute" wp14:anchorId="081D83A6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486D8E16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0"/>
                      <wp:effectExtent l="0" t="0" r="0" b="0"/>
                      <wp:wrapNone/>
                      <wp:docPr id="4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5040" cy="0"/>
                              </a:xfrm>
                              <a:prstGeom prst="line">
                                <a:avLst/>
                              </a:prstGeom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id="shape_0" from="8.5pt,4.35pt" to="30.1pt,4.35pt" ID="Прямая соединительная линия 3" stroked="f" o:allowincell="f" style="position:absolute" wp14:anchorId="486D8E16">
                      <v:stroke color="#3465a4" joinstyle="round" endcap="flat"/>
                      <v:fill o:detectmouseclick="t" on="false"/>
                      <w10:wrap type="none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                          в постановление администрации города Бузулука от 14.12.2022                            № 2481-п </w:t>
            </w:r>
          </w:p>
        </w:tc>
        <w:tc>
          <w:tcPr>
            <w:tcW w:w="285" w:type="dxa"/>
          </w:tcPr>
          <w:p w:rsidR="00873642" w:rsidRDefault="00873642">
            <w:pPr>
              <w:widowControl w:val="0"/>
              <w:ind w:left="-21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4" w:type="dxa"/>
          </w:tcPr>
          <w:p w:rsidR="00873642" w:rsidRDefault="00873642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3642" w:rsidRDefault="00873642">
      <w:pPr>
        <w:spacing w:after="0" w:line="240" w:lineRule="auto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873642" w:rsidRDefault="0000121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со статьей 16 Федерального закона от 06.10.2003                     № 131-ФЗ «Об общих принципах организации местного самоуправления                            в Российской Федерации»,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>
        <w:r>
          <w:rPr>
            <w:rFonts w:ascii="Times New Roman" w:hAnsi="Times New Roman" w:cs="Times New Roman"/>
            <w:sz w:val="28"/>
            <w:szCs w:val="28"/>
          </w:rPr>
          <w:t>статей 30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>
          <w:rPr>
            <w:rFonts w:ascii="Times New Roman" w:hAnsi="Times New Roman" w:cs="Times New Roman"/>
            <w:sz w:val="28"/>
            <w:szCs w:val="28"/>
          </w:rPr>
          <w:t>пункта 5 статьи 40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12">
        <w:r>
          <w:rPr>
            <w:rFonts w:ascii="Times New Roman" w:hAnsi="Times New Roman" w:cs="Times New Roman"/>
            <w:sz w:val="28"/>
            <w:szCs w:val="28"/>
          </w:rPr>
          <w:t>статьи 43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Устава города Бузулука, </w:t>
      </w:r>
      <w:r>
        <w:rPr>
          <w:rFonts w:ascii="Times New Roman" w:hAnsi="Times New Roman"/>
          <w:sz w:val="28"/>
          <w:szCs w:val="28"/>
        </w:rPr>
        <w:t>постановления администрации города Бузулука                           от 06.11.2015 № 2433-п «Об утверждении Порядка разработки, реализации                         и оценки эффективности муниципальных программ города Бузулука»:</w:t>
      </w:r>
      <w:proofErr w:type="gramEnd"/>
    </w:p>
    <w:p w:rsidR="00873642" w:rsidRDefault="0000121D">
      <w:pPr>
        <w:pStyle w:val="af3"/>
        <w:numPr>
          <w:ilvl w:val="0"/>
          <w:numId w:val="1"/>
        </w:numPr>
        <w:ind w:left="0"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приложение к постановлению администрации города Бузулука от 14.12.2022 № 2481-п «Об утверждении муниципальной программы «Образование города Бузулука» изменения, изложив приложения № 1 - 2                                в новой редакции согласно приложениям № 1 – 2.</w:t>
      </w:r>
    </w:p>
    <w:p w:rsidR="00873642" w:rsidRDefault="000012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после официального опубликования в газете «Российская провинция» и подлежит официальному опубликованию на </w:t>
      </w:r>
      <w:proofErr w:type="gramStart"/>
      <w:r>
        <w:rPr>
          <w:rFonts w:ascii="Times New Roman" w:hAnsi="Times New Roman"/>
          <w:sz w:val="28"/>
          <w:szCs w:val="28"/>
        </w:rPr>
        <w:t>правовом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интернет-портале Бузулука БУЗУЛУК-ПРАВО.РФ.</w:t>
      </w:r>
    </w:p>
    <w:p w:rsidR="00873642" w:rsidRDefault="0000121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873642" w:rsidRDefault="0000121D">
      <w:pPr>
        <w:spacing w:after="0" w:line="240" w:lineRule="auto"/>
        <w:ind w:right="5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                  на заместителя главы администрации города по социальной политике.</w:t>
      </w: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 w:firstLine="824"/>
        <w:jc w:val="both"/>
        <w:rPr>
          <w:rFonts w:ascii="Times New Roman" w:hAnsi="Times New Roman"/>
          <w:sz w:val="28"/>
          <w:szCs w:val="28"/>
        </w:rPr>
      </w:pPr>
    </w:p>
    <w:p w:rsidR="00873642" w:rsidRDefault="0000121D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     В.С. Песков</w:t>
      </w:r>
    </w:p>
    <w:p w:rsidR="00873642" w:rsidRDefault="0000121D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873642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873642" w:rsidRDefault="0000121D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73642">
          <w:headerReference w:type="default" r:id="rId13"/>
          <w:headerReference w:type="first" r:id="rId14"/>
          <w:pgSz w:w="11906" w:h="16838"/>
          <w:pgMar w:top="766" w:right="709" w:bottom="851" w:left="1418" w:header="709" w:footer="0" w:gutter="0"/>
          <w:pgNumType w:start="1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/>
          <w:sz w:val="28"/>
          <w:szCs w:val="28"/>
        </w:rPr>
        <w:t xml:space="preserve">Разослано: в дело, </w:t>
      </w:r>
      <w:proofErr w:type="spellStart"/>
      <w:r>
        <w:rPr>
          <w:rFonts w:ascii="Times New Roman" w:hAnsi="Times New Roman"/>
          <w:sz w:val="28"/>
          <w:szCs w:val="28"/>
        </w:rPr>
        <w:t>Севрюкову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Финансовому управлению администрации города Бузулука, Управлению образования администрации города Бузулука, управлению по информационной политике администрации города Бузулука, ООО «</w:t>
      </w:r>
      <w:proofErr w:type="spellStart"/>
      <w:r>
        <w:rPr>
          <w:rFonts w:ascii="Times New Roman" w:hAnsi="Times New Roman"/>
          <w:sz w:val="28"/>
          <w:szCs w:val="28"/>
        </w:rPr>
        <w:t>Информправо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плюс», редакции газеты «Российская провинция».</w:t>
      </w:r>
    </w:p>
    <w:tbl>
      <w:tblPr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250"/>
        <w:gridCol w:w="313"/>
        <w:gridCol w:w="254"/>
        <w:gridCol w:w="2821"/>
        <w:gridCol w:w="860"/>
        <w:gridCol w:w="258"/>
        <w:gridCol w:w="1264"/>
        <w:gridCol w:w="268"/>
        <w:gridCol w:w="1187"/>
        <w:gridCol w:w="271"/>
        <w:gridCol w:w="685"/>
        <w:gridCol w:w="9"/>
        <w:gridCol w:w="1159"/>
        <w:gridCol w:w="1023"/>
        <w:gridCol w:w="241"/>
        <w:gridCol w:w="321"/>
        <w:gridCol w:w="418"/>
        <w:gridCol w:w="843"/>
        <w:gridCol w:w="242"/>
        <w:gridCol w:w="968"/>
        <w:gridCol w:w="1024"/>
        <w:gridCol w:w="570"/>
        <w:gridCol w:w="366"/>
        <w:gridCol w:w="305"/>
      </w:tblGrid>
      <w:tr w:rsidR="00873642">
        <w:trPr>
          <w:trHeight w:val="1085"/>
        </w:trPr>
        <w:tc>
          <w:tcPr>
            <w:tcW w:w="246" w:type="dxa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gridSpan w:val="2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gridSpan w:val="2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gridSpan w:val="6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  <w:gridSpan w:val="8"/>
          </w:tcPr>
          <w:p w:rsidR="0078407D" w:rsidRDefault="000012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постановлению  администрации города Бузулука</w:t>
            </w:r>
          </w:p>
          <w:p w:rsidR="00873642" w:rsidRPr="0078407D" w:rsidRDefault="0078407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407D">
              <w:rPr>
                <w:rFonts w:ascii="Times New Roman" w:hAnsi="Times New Roman" w:cs="Times New Roman"/>
                <w:sz w:val="28"/>
                <w:szCs w:val="28"/>
              </w:rPr>
              <w:t>от 23.04.2024 № 1116-п</w:t>
            </w:r>
          </w:p>
        </w:tc>
      </w:tr>
      <w:tr w:rsidR="00873642">
        <w:trPr>
          <w:trHeight w:val="1085"/>
        </w:trPr>
        <w:tc>
          <w:tcPr>
            <w:tcW w:w="15402" w:type="dxa"/>
            <w:gridSpan w:val="23"/>
          </w:tcPr>
          <w:p w:rsidR="00873642" w:rsidRDefault="00873642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642" w:rsidRDefault="0000121D">
            <w:pPr>
              <w:widowControl w:val="0"/>
              <w:spacing w:after="0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показателей муниципальной программы</w:t>
            </w:r>
          </w:p>
          <w:p w:rsidR="00873642" w:rsidRDefault="008736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35"/>
        </w:trPr>
        <w:tc>
          <w:tcPr>
            <w:tcW w:w="5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82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показателя</w:t>
            </w:r>
          </w:p>
        </w:tc>
        <w:tc>
          <w:tcPr>
            <w:tcW w:w="150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Исходные показатели базового года</w:t>
            </w:r>
          </w:p>
        </w:tc>
        <w:tc>
          <w:tcPr>
            <w:tcW w:w="803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2250"/>
        </w:trPr>
        <w:tc>
          <w:tcPr>
            <w:tcW w:w="554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 год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2027 год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2028 </w:t>
            </w: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2029 год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2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15402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Обеспечена доступность дошкольного образования для детей в возрасте от 1,5 до 3 лет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1,</w:t>
            </w: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национальной  системы профессионального роста педагогических работников путем  повышения квалификации педагогических работников, в том числе в центрах непрерывного повышения профессионального повышения мастерства 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1,</w:t>
            </w: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 организаций системы образования</w:t>
            </w:r>
          </w:p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Обеспечено совершенствование системы выявления, поддержки и развития способностей и талантов детей и молодежи путем охвата дополнительным образованием, мероприятиями, направленными  на раннюю профессиональную ориентацию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1,</w:t>
            </w: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2434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Созданы условия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муниципальных общеобразовательных организаций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1,</w:t>
            </w: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образовательных организаций, принявших участие в мероприятиях патриотической направленности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Процент 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посещаемости муниципальной дошкольной образовательной организации  в год одного ребенка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66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 выпускников, получивших аттестаты об основном общем образовании, аттестаты                 о среднем общем образовании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382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Обеспечено предоставление дополнительного образования                   во всех муниципальных образовательных организациях 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1,</w:t>
            </w: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муниципальных организаций, на базе которых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организуется отдых детей и их оздоровление                                                  в каникулярное время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81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системы образования города Бузулука  обеспечены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методическим сопровождением, хозяйственным обслуживанием, организацией ведения бухгалтерского                            и налогового учета и отчетности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1,</w:t>
            </w: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81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деятельности муниципальных учреждений города Бузулуке в сфере образования          в соответствии с Конституцией Российской Федерации, действующим законодательством Российской Федерации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 – 1,</w:t>
            </w: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 - 0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074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муниципальных общеобразовательных учреждений, обеспеченных горячим питанием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274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Удельный вес детей-сирот и детей, оставшихся без попечения, охваченных различными формами устройства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82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Проведены пятидневные учебные сборы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 </w:t>
            </w: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15402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«Содействие занятости (Оренбургская область)»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054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             от 1,5 до 3 лет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 созданных мест с целью обеспечения дошкольным образованием детей в возрасте              до 3 лет нарастающим итогом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мест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15402" w:type="dxa"/>
            <w:gridSpan w:val="2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                              в центрах непрерывного повышения профессионального мастерства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79,1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 работники                       и управленческие кадры системы общего, дополнительного образования детей и</w:t>
            </w:r>
          </w:p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 образования субъектов Российской Федерации повысили уровень профессионального мастерства по дополнительным профессиональным программам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новых мест                                           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общеобразовательных организаций созданы                                           и функционируют детские технопарки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15402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центров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Т-куб»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11,41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12,04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12,52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от 5 до 18 лет, охваченных дополнительным образованием 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78,9</w:t>
            </w: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79,51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                                          по образовательным программам основного и среднего образования, охваченных мероприятиями, направленными на раннюю профессиональную ориентацию,                  в том числе в рамках программы «Билет в будущее»</w:t>
            </w:r>
            <w:proofErr w:type="gramEnd"/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обновлена материально-техническая база для занятий детей физической культурой и спортом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капитальные ремонты и обновлена материально-техническая база для занятий физической культурой и спортом               в общеобразовательных организациях, расположенных                     в сельской местности и городах                    с численностью населения до 250 тысяч человек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открытых онлайн-уроков, направленных                на раннюю профориентацию и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     в которых приняли участие дети 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Миллион человек 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0,0032</w:t>
            </w:r>
          </w:p>
        </w:tc>
        <w:tc>
          <w:tcPr>
            <w:tcW w:w="9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0,0032</w:t>
            </w: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0,003932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новые места                                         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0,255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15402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</w:t>
            </w:r>
            <w:proofErr w:type="gramEnd"/>
          </w:p>
          <w:p w:rsidR="00873642" w:rsidRDefault="000012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федеральной информационно-сервисной платформе</w:t>
            </w:r>
          </w:p>
          <w:p w:rsidR="00873642" w:rsidRDefault="000012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образовательной среды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использующих сервисы</w:t>
            </w:r>
          </w:p>
          <w:p w:rsidR="00873642" w:rsidRDefault="000012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информационно-сервисной платформы</w:t>
            </w:r>
          </w:p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образовательной среды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использующих</w:t>
            </w:r>
          </w:p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сервисы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информационно-сервисной</w:t>
            </w:r>
          </w:p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платформы цифровой образовательной среды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программ основного общего образования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  <w:p w:rsidR="00873642" w:rsidRDefault="008736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педагогических работников, прошедших повышение квалификации сотрудников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общеобразовательных организаций (и их филиалов) и профессиональных образовательных организаций (и их филиалов), в которых внедряется цифровая образовательная среда      в 2023 году, по вопросам внедрения и функционирования цифровой образовательной среды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Процентов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сотрудников и педагогов общеобразовательных организаций (и их филиалов) и профессиональных образовательных организаций (и их филиалов), в которых внедряется цифровая образовательная среда      в 2024 году, по вопросам внедрения и функционирования цифровой образовательной среды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78"/>
        </w:trPr>
        <w:tc>
          <w:tcPr>
            <w:tcW w:w="15402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822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увеличение численности детей и молодежи           в возрасте до 35 лет, вовлеченных          в социально активную деятельность через увеличение охвата патриотическими проектами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Тысяча человек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251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развития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межпоколенческого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Тысяча человек 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0,412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</w:pPr>
            <w: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2699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   с детскими общественными объединениями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15402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объектов, в которых      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объектов, в которых обеспечено завершение мероприятий по модернизации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школьных систем образования     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1540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«Развитие дошкольного образования»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441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дошкольного возраста, обеспеченных местами          в муниципальных дошкольных образовательных организациях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5409</w:t>
            </w:r>
          </w:p>
        </w:tc>
        <w:tc>
          <w:tcPr>
            <w:tcW w:w="9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pStyle w:val="af3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pStyle w:val="af3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75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которым предоставлена услуга по присмотру и уходу, в том числе питание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5409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5043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2593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родителей, воспользовавшихся правом               на компенсацию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5409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3706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4502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19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детей-инвалидов, которым предоставлена услуга          по присмотру и уходу, в том числе питание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tabs>
                <w:tab w:val="center" w:pos="3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690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удовлетворенных качеством дошкольного образования, от общего числа опрошенных родителей, дети которых обучаются по программам дошкольного образования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639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модернизированных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02"/>
        </w:trPr>
        <w:tc>
          <w:tcPr>
            <w:tcW w:w="15402" w:type="dxa"/>
            <w:gridSpan w:val="2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                        в муниципальных общеобразовательных организациях</w:t>
            </w:r>
            <w:proofErr w:type="gramEnd"/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11309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11659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11 883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11 883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11 883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11 883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ind w:right="-3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11883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11883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11883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523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общеобразовательных организаций,  в которых проводятся мероприятия по патриотическому воспитанию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715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учебниками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                         в частных общеобразовательных организациях, осуществляющих образовательную деятельность                  по имеющим государственную аккредитацию основным общеобразовательным программам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60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удовлетворенных качеством общего образования,           от общего числа опрошенных родителей, дети которых обучаются по программам общего образования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805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 получивших вознаграждение                      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28"/>
        </w:trPr>
        <w:tc>
          <w:tcPr>
            <w:tcW w:w="15402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«Дополнительное образование детей»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404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детей в возрасте от 5            до 18 лет, охваченных дополнительным образованием                 в муниципальных организациях дополнительного образования 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6090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750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объединений                       в муниципальных организациях дополнительного образования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6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8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удовлетворенных качеством дополнительного образования, от общего числа опрошенных родителей, дети которых обучаются по программам дополнительного образования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84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среднемесячной заработной платы педагогов муниципальных организаций дополнительного образования           к среднемесячной заработной плате учителей в городе Бузулуке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84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детей в возрасте от 5 до 18 лет, имеющих право на получение дополнительного образования                 в рамках системы персонифицированного финансирования в общей численности детей в возрасте от 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 18 лет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89"/>
        </w:trPr>
        <w:tc>
          <w:tcPr>
            <w:tcW w:w="1540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«Организация отдыха детей»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651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охваченных организованным отдыхом                          в муниципальных загородных стационарных детских оздоровительных лагерях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807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охваченных организованным отдыхом в лагерях дневного пребывания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2234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75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удовлетворенных качеством организованного отдыха, от общего числа опрошенных родителей, дети которых охвачены организованным отдыхом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75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модернизированных объектов инфраструктуры, предназначенных для отдыха детей и их оздоровления.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67"/>
        </w:trPr>
        <w:tc>
          <w:tcPr>
            <w:tcW w:w="1540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«Осуществление управления в сфере образования»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75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организаций, предоставляющих услуги                        по дошкольному образованию 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 </w:t>
            </w: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69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организаций, предоставляющих услуги                       по начальному общему, основному общему и среднему общему образованию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 </w:t>
            </w: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808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организаций, предоставляющих услуги                       по дополнительному образованию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 </w:t>
            </w: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952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организаций, предоставляющих услуги                        по отдыху детей в каникулярное время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Да-1 </w:t>
            </w: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Нет-0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80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городских мероприятий в сфере образования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255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студентов, обучающихся                                       </w:t>
            </w:r>
          </w:p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федеральных  образовательных организациях высшего образования по направлению «Образование и педагогические науки», с которыми заключен договор на целевое обучение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35"/>
        </w:trPr>
        <w:tc>
          <w:tcPr>
            <w:tcW w:w="1540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«Финансовое обеспечение деятельности учреждений в сфере образования»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51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выполненных заявок </w:t>
            </w:r>
          </w:p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хозяйственно-эксплуатационное обслуживание муниципальных организаций системы образования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831"/>
        </w:trPr>
        <w:tc>
          <w:tcPr>
            <w:tcW w:w="554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организаций системы образования, охваченных методическим обеспечением</w:t>
            </w:r>
          </w:p>
        </w:tc>
        <w:tc>
          <w:tcPr>
            <w:tcW w:w="150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85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муниципальных организаций системы образования, предоставивших бухгалтерскую и налоговую отчетность      соответствие с требованиями законодательства и                                      в установленные сроки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89"/>
        </w:trPr>
        <w:tc>
          <w:tcPr>
            <w:tcW w:w="15402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Комплекс процессных мероприятий «Организация питания обучающихся»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85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частных, имеющих государственную аккредитацию, общеобразовательных организаций, получающих дотацию на питание, за счет средств местного бюджета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75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 и подростков, охваченных горячим питанием                  в лагерях дневного пребывания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2946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079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             в муниципальных образовательных организациях, получающих бесплатное горячее питание,                     к общему количеству обучающихся, получающих начальное общее образование                    в муниципальных образовательных организациях</w:t>
            </w:r>
            <w:proofErr w:type="gramEnd"/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665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 бесплатным горячим питанием обучающихся, получающих начальное общее образование в муниципальных образовательных организациях</w:t>
            </w:r>
            <w:proofErr w:type="gramEnd"/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27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двухразовым бесплатным питанием обучающихся                              с ограниченными возможностями здоровья муниципальных общеобразовательных организаций, в том числе осваивающих образовательные программы начального общего, основного общего и среднего общего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на дому.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662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1-4 классов                 в муниципальных образовательных организациях, получающих дотацию на питание, за счет средств местного бюджета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5 407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5 431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5 431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5 431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5431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5431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662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1 – 4 классов         в муниципальных образовательных организациях, получающих субсидию на питание за счет средств областного бюджета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5169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5 407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5 431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5 431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5 431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5 431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5 431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5 431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5 431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807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5-11 классов            в муниципальных общеобразовательных организациях, получающих дотацию на питание за счет средств местного бюджета</w:t>
            </w:r>
          </w:p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5829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80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5-11 классов           в муниципальных общеобразовательных организациях, получающих субсидию на питание, за счет средств областного бюджета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5829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5997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6274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2365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обучающихся, освобожденных в установленном размере от платы за питание,                        из числа малообеспеченных семей, детей-сирот, детей, оставшихся без попечения родителей, детей-инвалидов, посещающих группы продленного дня</w:t>
            </w:r>
          </w:p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303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общеобразовательных организаций, обеспечивающих питание обучающихся 5-11 классов во время обучения</w:t>
            </w:r>
          </w:p>
          <w:p w:rsidR="00873642" w:rsidRDefault="008736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87364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27"/>
        </w:trPr>
        <w:tc>
          <w:tcPr>
            <w:tcW w:w="15402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«Выполнение государственных полномочий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639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                        на воспитание в семью, от общего числа выявленных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422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                        на воспитание в семью опекуна,                  от общего числа выявленных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553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                        на воспитание в приемную семью, от общего числа выявленных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58"/>
        </w:trPr>
        <w:tc>
          <w:tcPr>
            <w:tcW w:w="15402" w:type="dxa"/>
            <w:gridSpan w:val="2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«Мероприятия по патриотическому воспитанию граждан»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140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(юношей) 10 классов муниципальных общеобразовательных организаций города Бузулука, за исключением имеющих освобождение от занятий по уважительным причинам, принявших участие в пятидневных учебных сборах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4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805" w:type="dxa"/>
            <w:gridSpan w:val="3"/>
            <w:shd w:val="clear" w:color="auto" w:fill="auto"/>
            <w:vAlign w:val="bottom"/>
          </w:tcPr>
          <w:p w:rsidR="00873642" w:rsidRDefault="0087364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  <w:bookmarkStart w:id="1" w:name="RANGE!A1%3AE58"/>
            <w:bookmarkEnd w:id="1"/>
          </w:p>
        </w:tc>
        <w:tc>
          <w:tcPr>
            <w:tcW w:w="2783" w:type="dxa"/>
            <w:shd w:val="clear" w:color="auto" w:fill="auto"/>
            <w:vAlign w:val="bottom"/>
          </w:tcPr>
          <w:p w:rsidR="00873642" w:rsidRDefault="0087364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4727" w:type="dxa"/>
            <w:gridSpan w:val="7"/>
            <w:shd w:val="clear" w:color="auto" w:fill="auto"/>
            <w:vAlign w:val="bottom"/>
          </w:tcPr>
          <w:p w:rsidR="00873642" w:rsidRDefault="0087364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2399" w:type="dxa"/>
            <w:gridSpan w:val="4"/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  <w:gridSpan w:val="7"/>
            <w:shd w:val="clear" w:color="auto" w:fill="auto"/>
            <w:vAlign w:val="center"/>
          </w:tcPr>
          <w:p w:rsidR="00873642" w:rsidRDefault="0000121D">
            <w:pPr>
              <w:widowControl w:val="0"/>
              <w:ind w:right="-10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2 к постановлению  администрации города Бузулука</w:t>
            </w:r>
          </w:p>
          <w:p w:rsidR="00873642" w:rsidRDefault="0078407D">
            <w:pPr>
              <w:widowControl w:val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407D">
              <w:rPr>
                <w:rFonts w:ascii="Times New Roman" w:eastAsia="Times New Roman" w:hAnsi="Times New Roman" w:cs="Times New Roman"/>
                <w:sz w:val="28"/>
                <w:szCs w:val="28"/>
              </w:rPr>
              <w:t>от 23.04.2024 № 1116-п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805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73642" w:rsidRDefault="0087364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4236" w:type="dxa"/>
            <w:gridSpan w:val="1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муниципальной программы</w:t>
            </w:r>
          </w:p>
          <w:p w:rsidR="00873642" w:rsidRDefault="00873642">
            <w:pPr>
              <w:widowControl w:val="0"/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0"/>
        </w:trPr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4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описание ожидаемых эффектов              от реализации задачи структурного элемента</w:t>
            </w: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проект  «Содействие занятости (Оренбургская область)» 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доступности дошкольного образования для детей        в возрасте от 1,5 до 3 лет</w:t>
            </w:r>
          </w:p>
        </w:tc>
        <w:tc>
          <w:tcPr>
            <w:tcW w:w="47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Созданы дополнительные места для детей    в возрасте от 1,5 до 3 лет в дошкольных образовательных организациях</w:t>
            </w: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дошкольного образования для детей в возрасте         от 1,5 до 3 лет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дополнительно созданных мест с целью обеспечения дошкольным образованием детей в возрасте до 3 лет нарастающим итогом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УГиКС</w:t>
            </w:r>
            <w:proofErr w:type="spellEnd"/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профессионального мастерства педагогических работников и управленческих кадров муниципальных общеобразовательных организаций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организаций дополнительного образования и привлекательности педагогической профессии, привлечение педагогических работников для работы   в муниципальных образовательных организациях города Бузулука.</w:t>
            </w:r>
          </w:p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Ликвидация второй смены в муниципальных общеобразовательных организациях.</w:t>
            </w:r>
          </w:p>
        </w:tc>
        <w:tc>
          <w:tcPr>
            <w:tcW w:w="47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Улучшение качества образования</w:t>
            </w: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и управленческие кадры системы</w:t>
            </w:r>
          </w:p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общего, дополнительного образования детей и</w:t>
            </w:r>
          </w:p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профессионального образования субъектов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Федерации повысили уровень профессионального мастерства по дополнительным профессиональным программам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12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Создано новых мест в общеобразовательных организациях          в связи с ростом числа обучающихся, вызванным демографическим фактором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05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общеобразовательных организаций созданы и функционируют детские технопарки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«Успех каждого ребенка»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Выявление, поддержка и развитие способностей и талантов детей и молодежи</w:t>
            </w:r>
          </w:p>
        </w:tc>
        <w:tc>
          <w:tcPr>
            <w:tcW w:w="47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Максимальный охват детей 5 - 18 лет программами дополнительного образования. </w:t>
            </w:r>
          </w:p>
          <w:p w:rsidR="00873642" w:rsidRDefault="0000121D">
            <w:pPr>
              <w:widowControl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системы мер ранней профориентации.</w:t>
            </w:r>
          </w:p>
          <w:p w:rsidR="00873642" w:rsidRDefault="0000121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капитального ремонта и обновление материально-техническая база для занятий физической культурой и спортом в общеобразовательных организациях, расположенных в сельской местности и городах с численностью населения до 250 тысяч человек.</w:t>
            </w:r>
          </w:p>
          <w:p w:rsidR="00873642" w:rsidRDefault="0000121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мест для реализации дополнительных общеразвивающих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 всех направленностей.</w:t>
            </w:r>
          </w:p>
          <w:p w:rsidR="00873642" w:rsidRDefault="0087364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 центров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Т-куб» 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охваченных дополнительным образованием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по образовательным программам основного и среднего образования, охваченных мероприятиями, направленными на раннюю профессиональную ориентацию,                  в том числе в рамках программы «Билет в будущее»</w:t>
            </w:r>
            <w:proofErr w:type="gramEnd"/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общеобразовательных организациях обновлена материально-техническая база для занятий детей физической культурой и спортом.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капитальные ремонты и обновлена материально-техническая база для занятий физической культурой и спортом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общеобразовательных организациях, расположенных                     в сельской местности и городах с численностью населения до 250 тысяч человек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проведение открытых онлайн-уроков, направленных на раннюю профориентацию и реализуемых                с учетом опыта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                   в которых приняли участие дети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«Цифровая образовательная среда»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муниципальных общеобразовательных организаций материально-технической базой               для внедрения цифровой образовательной среды, предоставление обучающимся, педагогическим работникам доступа              к федеральной информационно-сервисной платформе цифровой образовательной среды</w:t>
            </w:r>
          </w:p>
        </w:tc>
        <w:tc>
          <w:tcPr>
            <w:tcW w:w="47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Созданы условия для внедрения современной и безопасной цифровой образовательной среды</w:t>
            </w:r>
          </w:p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для которых созданы равные условия получения качественного образования вне зависимости                      от места их нахождения посредством предоставления доступа                       к федеральной информационно-сервисной платформе цифровой образовательной среды</w:t>
            </w:r>
            <w:proofErr w:type="gramEnd"/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использующих сервисы</w:t>
            </w:r>
          </w:p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информационно-сервисной платформы</w:t>
            </w:r>
          </w:p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образовательной среды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99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сотрудников и педагогов общеобразовательных организаций (и их филиалов) и профессиональных образовательных организаций (и их филиалов), в которых внедряется цифровая образовательная среда в 2023 году,                 по вопросам внедрения и функционирования цифровой образовательной среды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026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прошедших повышение квалификации сотрудников и педагогов общеобразовательных организаций (и их филиалов) и профессиональных образовательных организаций (и их филиалов), в которых внедряется цифровая образовательная среда в 2024 году,                 по вопросам внедрения и функционирования цифровой образовательной среды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«Патриотическое воспитание граждан Российской Федерации»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  <w:proofErr w:type="spellEnd"/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81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функционирования системы патриотического воспитания граждан Российской Федерации, развитие воспитательной работы                                       в образовательных организациях общего и профессионального образования, проведение мероприятий патриотической направленности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исторической памяти и преемственности поколений</w:t>
            </w:r>
          </w:p>
        </w:tc>
        <w:tc>
          <w:tcPr>
            <w:tcW w:w="47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увеличение численности детей и молодежи в возрасте до 35 лет, вовлеченных в социально активную деятельность, мероприятия гражданско-патриотической направленности, внедрение рабочих программ воспитания обучающихся во всех  образовательных организациях города</w:t>
            </w:r>
          </w:p>
        </w:tc>
        <w:tc>
          <w:tcPr>
            <w:tcW w:w="672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Обеспечено увеличение численности детей и молодежи                      в возрасте до 35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Созданы условия для развития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межпоколенческого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 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Государственные и муниципальные общеобразовательные организации, в том числе структурные подразделения указанных организаций, оснащены государственными символами Российской Федерации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104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70"/>
        </w:trPr>
        <w:tc>
          <w:tcPr>
            <w:tcW w:w="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Приоритетный проект «Модернизация школьных систем образования (Оренбургская область)»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248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12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содержания детей                 в муниципальных образовательных организациях</w:t>
            </w:r>
          </w:p>
        </w:tc>
        <w:tc>
          <w:tcPr>
            <w:tcW w:w="47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общего образования в соответствии с требованиями законодательства</w:t>
            </w:r>
          </w:p>
        </w:tc>
        <w:tc>
          <w:tcPr>
            <w:tcW w:w="672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24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объектов, в которых обеспечено завершение мероприятий по модернизации школьных систем образования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40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бесплатного и общедоступного дошкольного образования,                         (за исключением полномочий по финансовому обеспечению реализации основных общеобразовательных программ                          в соответствии                с федеральными государственными образовательными стандартами), создание условий для осуществления присмотра и ухода                   за детьми, содержания детей в муниципальных образовательных организациях</w:t>
            </w:r>
          </w:p>
        </w:tc>
        <w:tc>
          <w:tcPr>
            <w:tcW w:w="47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недоимки по земельному и имущественному налогу; обеспечение предоставления дошкольного образования       в соответствии с требованиями законодательства; обеспечение детей-инвалидов дошкольным образованием; снижение расходов родителей (законных представителей) воспитанников на оплату услуг по присмотру и уходу за детьми             в муниципальных дошкольных образовательных организациях</w:t>
            </w: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 дошкольного возраста, обеспеченных местами в муниципальных дошкольных образовательных организациях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детей, которым предоставлена услуга по присмотру и уходу, в том числе питание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433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родителей, воспользовавшихся правом                          на компенсацию части родительской платы за присмотр и уход за детьми, посещающими образовательные организации, реализующие общеобразовательную программу дошкольного образования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детей-инвалидов, которым предоставлена услуга      по присмотру и уходу, в том числе питание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198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удовлетворенных качеством дошкольного образования, от общего числа опрошенных родителей, дети которых обучаются по программам дошкольного образования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004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модернизированных объектов муниципальной собственности для размещения дошкольных образовательных организаций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99"/>
        </w:trPr>
        <w:tc>
          <w:tcPr>
            <w:tcW w:w="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19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бесплатного и общедоступного начального, основного общего, среднего общего образования                         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47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недоимки по земельному и имущественному налогу; повышение уровня патриотизма у обучающихся; обеспечение предоставления общего образования в соответствии с требованиями законодательства; развитие негосударственного сектора общего образования; обеспечение всех педагогических работников, осуществляющих классное руководство        в муниципальных общеобразовательных организациях, ежемесячным денежным вознаграждением в размере пять тысяч рублей </w:t>
            </w:r>
            <w:proofErr w:type="gramEnd"/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 муниципальных общеобразовательных организациях</w:t>
            </w:r>
            <w:proofErr w:type="gramEnd"/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муниципальных общеобразовательных организаций, в которых проводятся мероприятия                              по патриотическому воспитанию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учебниками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253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удовлетворенных качеством общего образования, от общего числа опрошенных родителей, дети которых обучаются по программам общего образования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«Дополнительное образование детей»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286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дополнительного образования                          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</w:t>
            </w:r>
          </w:p>
        </w:tc>
        <w:tc>
          <w:tcPr>
            <w:tcW w:w="47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недоимки по земельному и имущественному налогу; обеспечение предоставления дополнительного образования в соответствии с требованиями законодательства; увеличение заработной платы педагогических работников муниципальных учреждений дополнительного образования;</w:t>
            </w:r>
          </w:p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возможности для удовлетворения разнообразных интересов детей и их семей в сфере образования                    за счет предоставления им выбора дополнительных 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программ, реализуемых организациями, осуществляющими образовательную деятельность, и индивидуальными предпринимателями, независимо от их правового статуса и формы собственности; повышение вариативности, качества и доступности дополнительного образования для каждого ребенка, проживающего                      в городе Бузулуке;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обновление содержания дополнительного образования детей                       в соответствии с интересами детей, потребностями семьи и общества</w:t>
            </w: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детей в возрасте от 5 до 18 лет, охваченных дополнительным образованием в муниципальных организациях дополнительного образования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873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объединений в муниципальных организациях дополнительного образования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51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удовлетворенных качеством дополнительного образования, от общего числа опрошенных родителей, дети которых обучаются по программам дополнительного образования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54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Отношение среднемесячной заработной платы педагогов муниципальных организаций дополнительного образования </w:t>
            </w:r>
          </w:p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среднемесячной заработной плате учителей в городе Бузулуке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63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 в возрасте от 5 до 18 лет, имеющих право                        на получение дополнительного образования в рамках системы персонифицированного финансирования в общей численности детей в возрасте от 5 до 18 лет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59"/>
        </w:trPr>
        <w:tc>
          <w:tcPr>
            <w:tcW w:w="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«Организация отдыха детей»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279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75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мероприятий                             по обеспечению организации отдыха детей в каникулярное время, включая мероприятия по обеспечению безопасности их жизни и здоровья</w:t>
            </w:r>
          </w:p>
        </w:tc>
        <w:tc>
          <w:tcPr>
            <w:tcW w:w="47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Недопущение недоимки по земельному и имущественному налогу; обеспечение предоставления услуг по отдыху детей                в каникулярное время в соответствии                 с требованиями законодательства </w:t>
            </w: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охваченных организованным отдыхом                          в загородных стационарных детских оздоровительных лагерях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91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охваченных организованным отдыхом в лагерях дневного пребывания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родителей, удовлетворенных качеством организованного отдыха, от общего числа опрошенных родителей, дети которых охвачены организованным отдыхом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717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модернизированных объектов инфраструктуры, предназначенных для отдыха детей и их оздоровления.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«Осуществление управления в сфере образования»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образовательной политики в городе Бузулуке в соответствии с Конституцией Российской Федерации,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 Российской Федерации</w:t>
            </w:r>
          </w:p>
        </w:tc>
        <w:tc>
          <w:tcPr>
            <w:tcW w:w="47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качества деятельности организаций системы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образования; привлечение педагогических работников для работы в муниципальных образовательных организациях города Бузулука.</w:t>
            </w: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организаций, предоставляющих услуги                                 по дошкольному образованию 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организаций, предоставляющих услуги по начальному общему, основному общему и среднему общему образованию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организаций, предоставляющих услуги                                    по дополнительному образованию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организаций, предоставляющих услуги по отдыху детей в каникулярное время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городских мероприятий в сфере образования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студентов, обучающихся в федеральных образовательных организациях высшего образования                        по направлению «Образование  и педагогические науки»,                      с которыми заключен договор на целевое обучение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«Финансовое обеспечение деятельности учреждений в сфере образования»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организаций системы образования </w:t>
            </w:r>
          </w:p>
        </w:tc>
        <w:tc>
          <w:tcPr>
            <w:tcW w:w="47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организаций системы образования  качественным хозяйственным обслуживанием; повышение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уровня качества деятельности организаций системы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образования; обеспечение качественной организации ведения бухгалтерского и налогового учета и отчетности организаций системы образования</w:t>
            </w: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выполненных заявок на хозяйственно-эксплуатационное обслуживание муниципальных организаций системы образования 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62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организаций системы образования, методическим обеспечением  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1294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муниципальных организаций системы образования, предоставивших охваченных бухгалтерскую и налоговую отчетность в соответствии с требованиями законодательства и         в установленные сроки 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77"/>
        </w:trPr>
        <w:tc>
          <w:tcPr>
            <w:tcW w:w="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«Организация питания обучающихся»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27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248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предоставления качественного и сбалансированного питания в соответствии         с возрастными и физиологическими потребностями учащихся в пищевых веществах и энергии</w:t>
            </w:r>
          </w:p>
        </w:tc>
        <w:tc>
          <w:tcPr>
            <w:tcW w:w="47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всех обучающихся в частных, имеющих государственную аккредитацию,  образовательных организациях дотациями на питание за счет средств местного бюджета; обеспечение детей и подростков горячим питанием в лагерях дневного пребывания.</w:t>
            </w:r>
          </w:p>
          <w:p w:rsidR="00873642" w:rsidRDefault="0000121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100-процентного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обучающихся, получающих начальное общее образование в муниципальных общеобразовательных организациях,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обеспеченных бесплатным горячим питанием.</w:t>
            </w:r>
            <w:proofErr w:type="gramEnd"/>
          </w:p>
          <w:p w:rsidR="00873642" w:rsidRDefault="0000121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увеличение охвата горячим питанием обучающихся             5-11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 организация питания  детей    из социально-незащищенных и малообеспеченных семей, посещающих группы продленного дня; обеспечение всех учащихся  муниципальных общеобразовательных организаций города дотацией  на питание за счет средств местного и областного бюджетов</w:t>
            </w:r>
          </w:p>
        </w:tc>
        <w:tc>
          <w:tcPr>
            <w:tcW w:w="6726" w:type="dxa"/>
            <w:gridSpan w:val="11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 обучающихся частных, имеющих государственную аккредитацию, общеобразовательных организаций, получающих дотацию на питание, за счет средств местного бюджета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09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8736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 и подростков, охваченных горячим питанием                    в лагерях дневного пребывания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Охват бесплатным горячим питанием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двухразовым бесплатным питанием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с ограниченными возможностями здоровья, в том числе осваивающих образовательные программы начального общего, основного общего и среднего общего образования на дому.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1-4 классов в муниципальных образовательных организациях, получающих дотацию                      на питание за счет средств местного бюджета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1-4  классов в муниципальных образовательных организациях, получающих субсидию                      на питание за счет средств областного бюджета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5-11 классов в муниципальных общеобразовательных организациях, получающих дотацию             на питание за счет средств местного бюджета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 5-11 классов в муниципальных общеобразовательных организациях,  получающих субсидию     на питание, за счет средств областного бюджета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обучающихся, освобожденных в установленном размере от платы за питание, из числа малообеспеченных семей, детей-сирот, детей, оставшихся без попечения родителей, детей-инвалидов, посещающих группы продленного дня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87364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общеобразовательных организаций, обеспечивающих питание обучающихся 5-11 классов во время обучения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0"/>
        </w:trPr>
        <w:tc>
          <w:tcPr>
            <w:tcW w:w="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«Выполнение государственных полномочий по организации и осуществлению деятельности                   по опеке и попечительству над несовершеннолетними»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31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необходимых условий для содержания, воспитания, обучения, социальной защиты, охраны здоровья детей-сирот и детей,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оставшихся                                  без попечения родителей</w:t>
            </w:r>
          </w:p>
        </w:tc>
        <w:tc>
          <w:tcPr>
            <w:tcW w:w="4727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Обеспечение прав и законных интересов детей-сирот и детей, оставшихся                              без попечения родителей, в городе Бузулуке; обеспечение выплат                                      на содержания детей в семье опекуна; обеспечение выплат на содержание детей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приемных семьях и вознаграждения приемным родителям</w:t>
            </w: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Доля детей-сирот и детей, оставшихся без попечения родителей, переданных на воспитание в семью, от общего числа выявленных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50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семью опекуна,                                           от общего числа выявленных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4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7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детей-сирот и детей, оставшихся без попечения родителей, переданных на воспитание в приемную семью,                                             от общего числа выявленных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21"/>
        </w:trPr>
        <w:tc>
          <w:tcPr>
            <w:tcW w:w="8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процессных мероприятий «Мероприятия по патриотическому воспитанию граждан»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47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6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  <w:tr w:rsidR="00873642">
        <w:trPr>
          <w:trHeight w:val="645"/>
        </w:trPr>
        <w:tc>
          <w:tcPr>
            <w:tcW w:w="8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87364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Патриотическое воспитание и 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к воинской службе</w:t>
            </w:r>
          </w:p>
        </w:tc>
        <w:tc>
          <w:tcPr>
            <w:tcW w:w="47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 получат начальные знания               в области обороны, будут адаптированы                к воинской службе, примут участие                        в мероприятиях военно-патриотического характера</w:t>
            </w:r>
          </w:p>
        </w:tc>
        <w:tc>
          <w:tcPr>
            <w:tcW w:w="6726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642" w:rsidRDefault="000012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 (юношей) 10 классов муниципальных общеобразовательных организаций города Бузулука,                           за исключением имеющих освобождение от занятий                         по уважительным причинам, принявших участие в пятидневных учебных сборах</w:t>
            </w:r>
          </w:p>
        </w:tc>
        <w:tc>
          <w:tcPr>
            <w:tcW w:w="361" w:type="dxa"/>
          </w:tcPr>
          <w:p w:rsidR="00873642" w:rsidRDefault="00873642">
            <w:pPr>
              <w:widowControl w:val="0"/>
            </w:pPr>
          </w:p>
        </w:tc>
        <w:tc>
          <w:tcPr>
            <w:tcW w:w="301" w:type="dxa"/>
          </w:tcPr>
          <w:p w:rsidR="00873642" w:rsidRDefault="00873642">
            <w:pPr>
              <w:widowControl w:val="0"/>
            </w:pPr>
          </w:p>
        </w:tc>
      </w:tr>
    </w:tbl>
    <w:p w:rsidR="00873642" w:rsidRDefault="00873642"/>
    <w:p w:rsidR="00873642" w:rsidRDefault="0000121D">
      <w:r>
        <w:t xml:space="preserve">  </w:t>
      </w:r>
    </w:p>
    <w:p w:rsidR="00873642" w:rsidRDefault="00873642"/>
    <w:p w:rsidR="00873642" w:rsidRDefault="00873642">
      <w:pPr>
        <w:pStyle w:val="af3"/>
        <w:rPr>
          <w:rFonts w:eastAsia="Times New Roman"/>
          <w:sz w:val="28"/>
          <w:szCs w:val="28"/>
        </w:rPr>
      </w:pPr>
    </w:p>
    <w:p w:rsidR="00873642" w:rsidRDefault="00873642">
      <w:pPr>
        <w:pStyle w:val="af3"/>
        <w:rPr>
          <w:rFonts w:eastAsia="Times New Roman"/>
          <w:sz w:val="28"/>
          <w:szCs w:val="28"/>
        </w:rPr>
      </w:pPr>
    </w:p>
    <w:p w:rsidR="00873642" w:rsidRDefault="00873642">
      <w:pPr>
        <w:pStyle w:val="af3"/>
        <w:rPr>
          <w:rFonts w:eastAsia="Times New Roman"/>
          <w:sz w:val="28"/>
          <w:szCs w:val="28"/>
        </w:rPr>
      </w:pPr>
    </w:p>
    <w:p w:rsidR="00873642" w:rsidRDefault="00873642">
      <w:pPr>
        <w:pStyle w:val="af3"/>
        <w:rPr>
          <w:rFonts w:eastAsia="Times New Roman"/>
          <w:sz w:val="28"/>
          <w:szCs w:val="28"/>
        </w:rPr>
      </w:pPr>
    </w:p>
    <w:p w:rsidR="00873642" w:rsidRDefault="00873642">
      <w:pPr>
        <w:pStyle w:val="af3"/>
        <w:rPr>
          <w:rFonts w:eastAsia="Times New Roman"/>
          <w:sz w:val="28"/>
          <w:szCs w:val="28"/>
        </w:rPr>
      </w:pPr>
    </w:p>
    <w:p w:rsidR="00873642" w:rsidRDefault="00873642">
      <w:pPr>
        <w:contextualSpacing/>
        <w:rPr>
          <w:rFonts w:ascii="Times New Roman" w:hAnsi="Times New Roman" w:cs="Times New Roman"/>
          <w:sz w:val="28"/>
          <w:szCs w:val="28"/>
        </w:rPr>
        <w:sectPr w:rsidR="00873642">
          <w:headerReference w:type="default" r:id="rId15"/>
          <w:headerReference w:type="first" r:id="rId16"/>
          <w:pgSz w:w="16838" w:h="11906" w:orient="landscape"/>
          <w:pgMar w:top="766" w:right="567" w:bottom="284" w:left="567" w:header="709" w:footer="0" w:gutter="0"/>
          <w:cols w:space="720"/>
          <w:formProt w:val="0"/>
          <w:docGrid w:linePitch="360" w:charSpace="4096"/>
        </w:sectPr>
      </w:pPr>
    </w:p>
    <w:p w:rsidR="00873642" w:rsidRDefault="0087364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RANGE!A1%3AD47"/>
      <w:bookmarkEnd w:id="2"/>
    </w:p>
    <w:p w:rsidR="00873642" w:rsidRDefault="00873642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sectPr w:rsidR="00873642">
      <w:headerReference w:type="default" r:id="rId17"/>
      <w:headerReference w:type="first" r:id="rId18"/>
      <w:pgSz w:w="11906" w:h="16838"/>
      <w:pgMar w:top="851" w:right="709" w:bottom="1134" w:left="1418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11" w:rsidRDefault="00D84C11">
      <w:pPr>
        <w:spacing w:after="0" w:line="240" w:lineRule="auto"/>
      </w:pPr>
      <w:r>
        <w:separator/>
      </w:r>
    </w:p>
  </w:endnote>
  <w:endnote w:type="continuationSeparator" w:id="0">
    <w:p w:rsidR="00D84C11" w:rsidRDefault="00D8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11" w:rsidRDefault="00D84C11">
      <w:pPr>
        <w:spacing w:after="0" w:line="240" w:lineRule="auto"/>
      </w:pPr>
      <w:r>
        <w:separator/>
      </w:r>
    </w:p>
  </w:footnote>
  <w:footnote w:type="continuationSeparator" w:id="0">
    <w:p w:rsidR="00D84C11" w:rsidRDefault="00D8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453463"/>
      <w:docPartObj>
        <w:docPartGallery w:val="Page Numbers (Top of Page)"/>
        <w:docPartUnique/>
      </w:docPartObj>
    </w:sdtPr>
    <w:sdtEndPr/>
    <w:sdtContent>
      <w:p w:rsidR="00873642" w:rsidRDefault="000012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67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873642" w:rsidRDefault="00D84C11">
        <w:pPr>
          <w:pStyle w:val="a4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2359605"/>
      <w:docPartObj>
        <w:docPartGallery w:val="Page Numbers (Top of Page)"/>
        <w:docPartUnique/>
      </w:docPartObj>
    </w:sdtPr>
    <w:sdtEndPr/>
    <w:sdtContent>
      <w:p w:rsidR="00873642" w:rsidRDefault="00D84C11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873642" w:rsidRDefault="00873642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241632"/>
      <w:docPartObj>
        <w:docPartGallery w:val="Page Numbers (Top of Page)"/>
        <w:docPartUnique/>
      </w:docPartObj>
    </w:sdtPr>
    <w:sdtEndPr/>
    <w:sdtContent>
      <w:p w:rsidR="00873642" w:rsidRDefault="000012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67C1">
          <w:rPr>
            <w:rFonts w:ascii="Times New Roman" w:hAnsi="Times New Roman" w:cs="Times New Roman"/>
            <w:noProof/>
            <w:sz w:val="28"/>
            <w:szCs w:val="28"/>
          </w:rPr>
          <w:t>3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873642" w:rsidRDefault="00D84C11">
        <w:pPr>
          <w:pStyle w:val="a4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42" w:rsidRDefault="0087364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976830"/>
      <w:docPartObj>
        <w:docPartGallery w:val="Page Numbers (Top of Page)"/>
        <w:docPartUnique/>
      </w:docPartObj>
    </w:sdtPr>
    <w:sdtEndPr/>
    <w:sdtContent>
      <w:p w:rsidR="00873642" w:rsidRDefault="0000121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367C1">
          <w:rPr>
            <w:rFonts w:ascii="Times New Roman" w:hAnsi="Times New Roman" w:cs="Times New Roman"/>
            <w:noProof/>
            <w:sz w:val="28"/>
            <w:szCs w:val="28"/>
          </w:rPr>
          <w:t>29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  <w:p w:rsidR="00873642" w:rsidRDefault="00D84C11">
        <w:pPr>
          <w:pStyle w:val="a4"/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42" w:rsidRDefault="008736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61513"/>
    <w:multiLevelType w:val="multilevel"/>
    <w:tmpl w:val="40E4D17C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2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2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8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607" w:hanging="2160"/>
      </w:pPr>
    </w:lvl>
  </w:abstractNum>
  <w:abstractNum w:abstractNumId="1">
    <w:nsid w:val="7E4C0D0C"/>
    <w:multiLevelType w:val="multilevel"/>
    <w:tmpl w:val="86B689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42"/>
    <w:rsid w:val="0000121D"/>
    <w:rsid w:val="00042E15"/>
    <w:rsid w:val="0078407D"/>
    <w:rsid w:val="00873642"/>
    <w:rsid w:val="00D84C11"/>
    <w:rsid w:val="00F3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7B3D7D"/>
  </w:style>
  <w:style w:type="character" w:customStyle="1" w:styleId="a5">
    <w:name w:val="Нижний колонтитул Знак"/>
    <w:basedOn w:val="a0"/>
    <w:link w:val="a6"/>
    <w:uiPriority w:val="99"/>
    <w:qFormat/>
    <w:rsid w:val="007B3D7D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E06359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qFormat/>
    <w:locked/>
    <w:rsid w:val="00055CEE"/>
    <w:rPr>
      <w:rFonts w:ascii="Calibri" w:eastAsia="Times New Roman" w:hAnsi="Calibri" w:cs="Calibri"/>
      <w:szCs w:val="20"/>
    </w:rPr>
  </w:style>
  <w:style w:type="character" w:styleId="a9">
    <w:name w:val="Hyperlink"/>
    <w:basedOn w:val="a0"/>
    <w:uiPriority w:val="99"/>
    <w:unhideWhenUsed/>
    <w:rsid w:val="00E13E5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E84E37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qFormat/>
    <w:rsid w:val="00E84E37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sid w:val="00E84E37"/>
    <w:rPr>
      <w:b/>
      <w:bCs/>
      <w:sz w:val="20"/>
      <w:szCs w:val="20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2">
    <w:name w:val="List Paragraph"/>
    <w:basedOn w:val="a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qFormat/>
    <w:rsid w:val="007D2B43"/>
    <w:pPr>
      <w:widowControl w:val="0"/>
    </w:pPr>
    <w:rPr>
      <w:rFonts w:eastAsia="Times New Roman" w:cs="Calibri"/>
      <w:b/>
      <w:szCs w:val="20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9255E4"/>
  </w:style>
  <w:style w:type="paragraph" w:customStyle="1" w:styleId="ConsPlusNormal0">
    <w:name w:val="ConsPlusNormal"/>
    <w:link w:val="ConsPlusNormal"/>
    <w:qFormat/>
    <w:rsid w:val="00055CEE"/>
    <w:pPr>
      <w:widowControl w:val="0"/>
    </w:pPr>
    <w:rPr>
      <w:rFonts w:eastAsia="Times New Roman" w:cs="Calibri"/>
      <w:szCs w:val="20"/>
    </w:rPr>
  </w:style>
  <w:style w:type="paragraph" w:styleId="ac">
    <w:name w:val="annotation text"/>
    <w:basedOn w:val="a"/>
    <w:link w:val="ab"/>
    <w:uiPriority w:val="99"/>
    <w:semiHidden/>
    <w:unhideWhenUsed/>
    <w:qFormat/>
    <w:rsid w:val="00E84E37"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sid w:val="00E84E37"/>
    <w:rPr>
      <w:b/>
      <w:bCs/>
    </w:rPr>
  </w:style>
  <w:style w:type="table" w:styleId="af4">
    <w:name w:val="Table Grid"/>
    <w:basedOn w:val="a1"/>
    <w:uiPriority w:val="59"/>
    <w:rsid w:val="00983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7B3D7D"/>
  </w:style>
  <w:style w:type="character" w:customStyle="1" w:styleId="a5">
    <w:name w:val="Нижний колонтитул Знак"/>
    <w:basedOn w:val="a0"/>
    <w:link w:val="a6"/>
    <w:uiPriority w:val="99"/>
    <w:qFormat/>
    <w:rsid w:val="007B3D7D"/>
  </w:style>
  <w:style w:type="character" w:customStyle="1" w:styleId="a7">
    <w:name w:val="Текст выноски Знак"/>
    <w:basedOn w:val="a0"/>
    <w:link w:val="a8"/>
    <w:uiPriority w:val="99"/>
    <w:semiHidden/>
    <w:qFormat/>
    <w:rsid w:val="00E06359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qFormat/>
    <w:locked/>
    <w:rsid w:val="00055CEE"/>
    <w:rPr>
      <w:rFonts w:ascii="Calibri" w:eastAsia="Times New Roman" w:hAnsi="Calibri" w:cs="Calibri"/>
      <w:szCs w:val="20"/>
    </w:rPr>
  </w:style>
  <w:style w:type="character" w:styleId="a9">
    <w:name w:val="Hyperlink"/>
    <w:basedOn w:val="a0"/>
    <w:uiPriority w:val="99"/>
    <w:unhideWhenUsed/>
    <w:rsid w:val="00E13E5E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E84E37"/>
    <w:rPr>
      <w:sz w:val="16"/>
      <w:szCs w:val="16"/>
    </w:rPr>
  </w:style>
  <w:style w:type="character" w:customStyle="1" w:styleId="ab">
    <w:name w:val="Текст примечания Знак"/>
    <w:basedOn w:val="a0"/>
    <w:link w:val="ac"/>
    <w:uiPriority w:val="99"/>
    <w:semiHidden/>
    <w:qFormat/>
    <w:rsid w:val="00E84E37"/>
    <w:rPr>
      <w:sz w:val="20"/>
      <w:szCs w:val="20"/>
    </w:rPr>
  </w:style>
  <w:style w:type="character" w:customStyle="1" w:styleId="ad">
    <w:name w:val="Тема примечания Знак"/>
    <w:basedOn w:val="ab"/>
    <w:link w:val="ae"/>
    <w:uiPriority w:val="99"/>
    <w:semiHidden/>
    <w:qFormat/>
    <w:rsid w:val="00E84E37"/>
    <w:rPr>
      <w:b/>
      <w:bCs/>
      <w:sz w:val="20"/>
      <w:szCs w:val="20"/>
    </w:rPr>
  </w:style>
  <w:style w:type="paragraph" w:customStyle="1" w:styleId="Heading">
    <w:name w:val="Heading"/>
    <w:basedOn w:val="a"/>
    <w:next w:val="af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">
    <w:name w:val="Body Text"/>
    <w:basedOn w:val="a"/>
    <w:pPr>
      <w:spacing w:after="140"/>
    </w:pPr>
  </w:style>
  <w:style w:type="paragraph" w:styleId="af0">
    <w:name w:val="List"/>
    <w:basedOn w:val="af"/>
  </w:style>
  <w:style w:type="paragraph" w:styleId="af1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2">
    <w:name w:val="List Paragraph"/>
    <w:basedOn w:val="a"/>
    <w:uiPriority w:val="34"/>
    <w:qFormat/>
    <w:rsid w:val="007D2B43"/>
    <w:pPr>
      <w:ind w:left="720"/>
      <w:contextualSpacing/>
    </w:pPr>
  </w:style>
  <w:style w:type="paragraph" w:customStyle="1" w:styleId="ConsPlusTitle">
    <w:name w:val="ConsPlusTitle"/>
    <w:qFormat/>
    <w:rsid w:val="007D2B43"/>
    <w:pPr>
      <w:widowControl w:val="0"/>
    </w:pPr>
    <w:rPr>
      <w:rFonts w:eastAsia="Times New Roman" w:cs="Calibri"/>
      <w:b/>
      <w:szCs w:val="20"/>
    </w:rPr>
  </w:style>
  <w:style w:type="paragraph" w:customStyle="1" w:styleId="HeaderandFooter">
    <w:name w:val="Header and Footer"/>
    <w:basedOn w:val="a"/>
    <w:qFormat/>
  </w:style>
  <w:style w:type="paragraph" w:styleId="a4">
    <w:name w:val="header"/>
    <w:basedOn w:val="a"/>
    <w:link w:val="a3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5"/>
    <w:uiPriority w:val="99"/>
    <w:unhideWhenUsed/>
    <w:rsid w:val="007B3D7D"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alloon Text"/>
    <w:basedOn w:val="a"/>
    <w:link w:val="a7"/>
    <w:uiPriority w:val="99"/>
    <w:semiHidden/>
    <w:unhideWhenUsed/>
    <w:qFormat/>
    <w:rsid w:val="00E0635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No Spacing"/>
    <w:uiPriority w:val="1"/>
    <w:qFormat/>
    <w:rsid w:val="009255E4"/>
  </w:style>
  <w:style w:type="paragraph" w:customStyle="1" w:styleId="ConsPlusNormal0">
    <w:name w:val="ConsPlusNormal"/>
    <w:link w:val="ConsPlusNormal"/>
    <w:qFormat/>
    <w:rsid w:val="00055CEE"/>
    <w:pPr>
      <w:widowControl w:val="0"/>
    </w:pPr>
    <w:rPr>
      <w:rFonts w:eastAsia="Times New Roman" w:cs="Calibri"/>
      <w:szCs w:val="20"/>
    </w:rPr>
  </w:style>
  <w:style w:type="paragraph" w:styleId="ac">
    <w:name w:val="annotation text"/>
    <w:basedOn w:val="a"/>
    <w:link w:val="ab"/>
    <w:uiPriority w:val="99"/>
    <w:semiHidden/>
    <w:unhideWhenUsed/>
    <w:qFormat/>
    <w:rsid w:val="00E84E37"/>
    <w:pPr>
      <w:spacing w:line="240" w:lineRule="auto"/>
    </w:pPr>
    <w:rPr>
      <w:sz w:val="20"/>
      <w:szCs w:val="20"/>
    </w:rPr>
  </w:style>
  <w:style w:type="paragraph" w:styleId="ae">
    <w:name w:val="annotation subject"/>
    <w:basedOn w:val="ac"/>
    <w:next w:val="ac"/>
    <w:link w:val="ad"/>
    <w:uiPriority w:val="99"/>
    <w:semiHidden/>
    <w:unhideWhenUsed/>
    <w:qFormat/>
    <w:rsid w:val="00E84E37"/>
    <w:rPr>
      <w:b/>
      <w:bCs/>
    </w:rPr>
  </w:style>
  <w:style w:type="table" w:styleId="af4">
    <w:name w:val="Table Grid"/>
    <w:basedOn w:val="a1"/>
    <w:uiPriority w:val="59"/>
    <w:rsid w:val="009831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BFDDCDA3AE72CCA57DE7446856DA9BD059939B81A17D91CD3C2BD3B34CEF8C183E1898AFC5C0815DA7F71HDbAG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FDDCDA3AE72CCA57DE7446856DA9BD059939B81A17D91CD3C2BD3B34CEF8C183E1898AFC5C0815DA7E79HDb6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BFDDCDA3AE72CCA57DE7446856DA9BD059939B81A17D91CD3C2BD3B34CEF8C183E1898AFC5C0815DA7973HDbA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C7551-DA5A-4D52-9151-9A46BFCE5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6350</Words>
  <Characters>36198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</dc:creator>
  <cp:lastModifiedBy>Ольга Н. Глебова</cp:lastModifiedBy>
  <cp:revision>2</cp:revision>
  <cp:lastPrinted>2024-04-09T03:52:00Z</cp:lastPrinted>
  <dcterms:created xsi:type="dcterms:W3CDTF">2024-04-23T07:49:00Z</dcterms:created>
  <dcterms:modified xsi:type="dcterms:W3CDTF">2024-04-23T07:49:00Z</dcterms:modified>
  <dc:language>ru-RU</dc:language>
</cp:coreProperties>
</file>